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193</w:t>
      </w:r>
    </w:p>
    <w:p>
      <w:r>
        <w:t>Bundesgericht (BGE), 2013-12-10, DE</w:t>
      </w:r>
    </w:p>
    <w:p>
      <w:r>
        <w:rPr>
          <w:b/>
        </w:rPr>
        <w:t xml:space="preserve">Quelle: </w:t>
      </w:r>
      <w:r>
        <w:t>https://mcp.opencaselaw.ch/entscheid/bge_141 III 193</w:t>
      </w:r>
    </w:p>
    <w:p>
      <w:r>
        <w:t>FR: ATF 141 III 193</w:t>
      </w:r>
    </w:p>
    <w:p>
      <w:r>
        <w:t>IT: DTF 141 III 193</w:t>
      </w:r>
    </w:p>
    <w:p>
      <w:pPr>
        <w:pStyle w:val="Heading2"/>
      </w:pPr>
      <w:r>
        <w:t>Regeste</w:t>
      </w:r>
    </w:p>
    <w:p>
      <w:r>
        <w:t>Regeste Nachehelicher Unterhalt nach Pensionierung des unterhaltsberechtigten Ehegatten. Grundsätze für die Ermittlung der Eigenversorgungskapazität des unterhaltsberechtigten Ehegatten nach dessen Pensionierung (E. 3.3).</w:t>
      </w:r>
    </w:p>
    <w:p>
      <w:pPr>
        <w:pStyle w:val="Heading2"/>
      </w:pPr>
      <w:r>
        <w:t>Erwägungen</w:t>
      </w:r>
    </w:p>
    <w:p>
      <w:r>
        <w:rPr>
          <w:b/>
        </w:rPr>
        <w:t>E. 3.3</w:t>
      </w:r>
    </w:p>
    <w:p>
      <w:r>
        <w:t>Nachehelicher Unterhalt ist nur soweit geschuldet, wie der Unterhaltsgläubiger nicht in der Lage ist, aus eigenen Kräften für seinen Unterhalt zu sorgen. Es muss somit zwingend geklärt werden, über welches Einkommen er verfügen wird (vgl. 5A_474/2013 E. 5.1 mit Hinweisen). Es ist zutreffend, dass in der Regel das Einkommen nach der Pensionierung geringer sein wird, weil die Altersvorsorge der ersten und der zweiten Säule darauf ausgerichtet ist, bloss einen Teil des Erwerbseinkommens zu ersetzen. Diese Überlegung stimmt aber nur insoweit, als die Renten der ersten und der zweiten Säule ausschliesslich durch das mit der Pensionierung entfallende Erwerbseinkommen aufgebaut worden sind. Beruht die Altersvorsorge demgegenüber auf anderen Quellen, kann von einem solchen Zusammenhang nicht mehr ausgegangen werden. BGE 141 III 193 S. 195 Eine andere Quelle kann insbesondere der Vorsorgeausgleich in der Scheidung darstellen, wenn eine erheblich grössere Austrittsleistung übertragen worden ist, als für den Ersatz des Erwerbseinkommens notwendig ist, so dass die sich daraus und aus weiteren Vorsorgebeiträgen ergebende Altersrente zusammen mit den Leistungen aus der ersten Säule nicht nur das Erwerbseinkommen, sondern auch die Unterhaltsrente ganz oder teilweise ersetzen kann. Ob dies zutrifft oder nicht, ist im Einzelfall zu berechnen.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